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B72BC">
      <w:pPr>
        <w:pageBreakBefore w:val="0"/>
        <w:kinsoku/>
        <w:wordWrap/>
        <w:topLinePunct w:val="0"/>
        <w:bidi w:val="0"/>
        <w:adjustRightInd w:val="0"/>
        <w:snapToGrid w:val="0"/>
        <w:ind w:left="0" w:leftChars="0" w:right="0" w:rightChars="0" w:firstLine="0" w:firstLineChars="0"/>
        <w:jc w:val="center"/>
        <w:rPr>
          <w:rFonts w:hint="default" w:ascii="Times New Roman" w:hAnsi="Times New Roman" w:eastAsia="宋体" w:cs="Times New Roman"/>
          <w:b/>
          <w:bCs/>
          <w:color w:val="000000" w:themeColor="text1"/>
          <w:sz w:val="44"/>
          <w:szCs w:val="44"/>
          <w14:textFill>
            <w14:solidFill>
              <w14:schemeClr w14:val="tx1"/>
            </w14:solidFill>
          </w14:textFill>
        </w:rPr>
      </w:pPr>
    </w:p>
    <w:p w14:paraId="2C7F39A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Times New Roman" w:hAnsi="Times New Roman" w:eastAsia="宋体" w:cs="Times New Roman"/>
          <w:b/>
          <w:bCs/>
          <w:color w:val="000000" w:themeColor="text1"/>
          <w:sz w:val="44"/>
          <w:szCs w:val="44"/>
          <w14:textFill>
            <w14:solidFill>
              <w14:schemeClr w14:val="tx1"/>
            </w14:solidFill>
          </w14:textFill>
        </w:rPr>
      </w:pPr>
    </w:p>
    <w:p w14:paraId="186F17C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0"/>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bookmarkStart w:id="0" w:name="_Toc14042"/>
      <w:bookmarkStart w:id="1" w:name="_Toc30911"/>
      <w:r>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t>江苏恒康电力科技有限公司</w:t>
      </w:r>
    </w:p>
    <w:p w14:paraId="0DACD14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0"/>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t>年产螺帽2500吨、铁附件60000吨扩建项目</w:t>
      </w:r>
    </w:p>
    <w:p w14:paraId="1CDF598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0"/>
        <w:rPr>
          <w:rFonts w:hint="default" w:ascii="Times New Roman" w:hAnsi="Times New Roman" w:eastAsia="宋体" w:cs="Times New Roman"/>
          <w:b/>
          <w:bCs/>
          <w:color w:val="000000" w:themeColor="text1"/>
          <w:sz w:val="44"/>
          <w:szCs w:val="44"/>
          <w14:textFill>
            <w14:solidFill>
              <w14:schemeClr w14:val="tx1"/>
            </w14:solidFill>
          </w14:textFill>
        </w:rPr>
      </w:pPr>
      <w:bookmarkStart w:id="2" w:name="_Toc32340"/>
      <w:bookmarkStart w:id="3" w:name="_Toc2999"/>
      <w:r>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t>一般变动环境影响分析</w:t>
      </w:r>
      <w:bookmarkEnd w:id="0"/>
      <w:bookmarkEnd w:id="1"/>
      <w:bookmarkEnd w:id="2"/>
      <w:bookmarkEnd w:id="3"/>
    </w:p>
    <w:p w14:paraId="03C71417">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4C8E16EC">
      <w:pPr>
        <w:pageBreakBefore w:val="0"/>
        <w:kinsoku/>
        <w:wordWrap/>
        <w:topLinePunct w:val="0"/>
        <w:bidi w:val="0"/>
        <w:adjustRightInd w:val="0"/>
        <w:snapToGrid w:val="0"/>
        <w:rPr>
          <w:rFonts w:hint="default" w:ascii="Times New Roman" w:hAnsi="Times New Roman" w:eastAsia="Arial" w:cs="Times New Roman"/>
          <w:snapToGrid w:val="0"/>
          <w:color w:val="000000" w:themeColor="text1"/>
          <w:kern w:val="0"/>
          <w:sz w:val="21"/>
          <w:szCs w:val="21"/>
          <w14:textFill>
            <w14:solidFill>
              <w14:schemeClr w14:val="tx1"/>
            </w14:solidFill>
          </w14:textFill>
        </w:rPr>
      </w:pPr>
    </w:p>
    <w:p w14:paraId="111C83C2">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74C4EE13">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47B06119">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61FFAFCD">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512DFADD">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7C1CE54F">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670CEF0F">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0E83F32E">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4124D9A0">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2CDEFEE4">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11EA372B">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440A5899">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6595E6A0">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63DE54FA">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461E00AD">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4859A285">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p>
    <w:p w14:paraId="791C0BD1">
      <w:pPr>
        <w:pageBreakBefore w:val="0"/>
        <w:tabs>
          <w:tab w:val="center" w:pos="4171"/>
        </w:tabs>
        <w:kinsoku/>
        <w:wordWrap/>
        <w:topLinePunct w:val="0"/>
        <w:bidi w:val="0"/>
        <w:adjustRightInd w:val="0"/>
        <w:snapToGrid w:val="0"/>
        <w:jc w:val="left"/>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color w:val="000000" w:themeColor="text1"/>
          <w:sz w:val="36"/>
          <w:szCs w:val="36"/>
          <w:lang w:eastAsia="zh-CN"/>
          <w14:textFill>
            <w14:solidFill>
              <w14:schemeClr w14:val="tx1"/>
            </w14:solidFill>
          </w14:textFill>
        </w:rPr>
        <w:tab/>
      </w: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江苏恒康电力科技有限公司</w:t>
      </w:r>
    </w:p>
    <w:p w14:paraId="1D690CF1">
      <w:pPr>
        <w:keepNext w:val="0"/>
        <w:keepLines w:val="0"/>
        <w:pageBreakBefore w:val="0"/>
        <w:widowControl/>
        <w:tabs>
          <w:tab w:val="center" w:pos="4171"/>
        </w:tabs>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sectPr>
          <w:pgSz w:w="11906" w:h="16838"/>
          <w:pgMar w:top="1440" w:right="1800" w:bottom="1440" w:left="1800" w:header="0" w:footer="0" w:gutter="0"/>
          <w:pgBorders>
            <w:top w:val="none" w:sz="0" w:space="0"/>
            <w:left w:val="none" w:sz="0" w:space="0"/>
            <w:bottom w:val="none" w:sz="0" w:space="0"/>
            <w:right w:val="none" w:sz="0" w:space="0"/>
          </w:pgBorders>
          <w:cols w:space="720" w:num="1"/>
        </w:sect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202</w:t>
      </w:r>
      <w:r>
        <w:rPr>
          <w:rFonts w:hint="eastAsia" w:cs="Times New Roman"/>
          <w:b/>
          <w:bCs/>
          <w:color w:val="000000" w:themeColor="text1"/>
          <w:sz w:val="36"/>
          <w:szCs w:val="36"/>
          <w:lang w:val="en-US" w:eastAsia="zh-CN"/>
          <w14:textFill>
            <w14:solidFill>
              <w14:schemeClr w14:val="tx1"/>
            </w14:solidFill>
          </w14:textFill>
        </w:rPr>
        <w:t>5</w:t>
      </w: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年</w:t>
      </w:r>
      <w:r>
        <w:rPr>
          <w:rFonts w:hint="eastAsia" w:cs="Times New Roman"/>
          <w:b/>
          <w:bCs/>
          <w:color w:val="000000" w:themeColor="text1"/>
          <w:sz w:val="36"/>
          <w:szCs w:val="36"/>
          <w:lang w:val="en-US" w:eastAsia="zh-CN"/>
          <w14:textFill>
            <w14:solidFill>
              <w14:schemeClr w14:val="tx1"/>
            </w14:solidFill>
          </w14:textFill>
        </w:rPr>
        <w:t>4</w:t>
      </w: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月</w:t>
      </w:r>
    </w:p>
    <w:p w14:paraId="7F245082">
      <w:pPr>
        <w:rPr>
          <w:rFonts w:hint="eastAsia"/>
          <w:b/>
          <w:bCs/>
          <w:lang w:val="en-US" w:eastAsia="zh-CN"/>
        </w:rPr>
      </w:pPr>
      <w:r>
        <w:rPr>
          <w:rFonts w:hint="eastAsia"/>
          <w:b/>
          <w:bCs/>
          <w:lang w:val="en-US" w:eastAsia="zh-CN"/>
        </w:rPr>
        <w:t>1.项目概况</w:t>
      </w:r>
    </w:p>
    <w:p w14:paraId="27F58D69">
      <w:pPr>
        <w:pageBreakBefore w:val="0"/>
        <w:kinsoku/>
        <w:wordWrap/>
        <w:topLinePunct w:val="0"/>
        <w:bidi w:val="0"/>
        <w:adjustRightInd w:val="0"/>
        <w:snapToGrid w:val="0"/>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江苏恒康电力科技有限公司位于徐州市睢宁县经济开发区永昶路903号（江苏恒康电力科技有限公司1#车间内），2018年建设了“电力塔、电力金具、互感器项目”，2020年根据市场需求对原有项目进行扩建，并于2020年12月16日通过竣工环境保护验收，最终形成年产电缆保护管1600吨/年，铁附件7000吨/年的生产规模。目前，根据企业规划及市场需求，在江苏恒康电力科技有限公司现有1#车间内建设1条螺帽生产线，并对原铁附件生产线焊接工序废气进行收集处理，项目建成后形成年产螺帽2500吨、铁附件60000吨的生产规模。公司实行1班制，每班8小时，年工作时长2000h，劳动定员80人。江苏恒康电力有限公司2020年12月10日首次申领排污登记回执，编号为：91320324MA1PD43M2B001Z</w:t>
      </w:r>
      <w:r>
        <w:rPr>
          <w:rFonts w:hint="eastAsia" w:cs="Times New Roman"/>
          <w:color w:val="000000" w:themeColor="text1"/>
          <w:lang w:eastAsia="zh-CN"/>
          <w14:textFill>
            <w14:solidFill>
              <w14:schemeClr w14:val="tx1"/>
            </w14:solidFill>
          </w14:textFill>
        </w:rPr>
        <w:t>。</w:t>
      </w:r>
    </w:p>
    <w:p w14:paraId="5BDC9FD0">
      <w:pPr>
        <w:pageBreakBefore w:val="0"/>
        <w:kinsoku/>
        <w:wordWrap/>
        <w:topLinePunct w:val="0"/>
        <w:bidi w:val="0"/>
        <w:adjustRightInd w:val="0"/>
        <w:snapToGrid w:val="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项目在建设及生产过程中发生了以下变化：</w:t>
      </w:r>
      <w:bookmarkStart w:id="4" w:name="_GoBack"/>
      <w:bookmarkEnd w:id="4"/>
    </w:p>
    <w:p w14:paraId="4F64D1DA">
      <w:pPr>
        <w:pageBreakBefore w:val="0"/>
        <w:kinsoku/>
        <w:wordWrap/>
        <w:topLinePunct w:val="0"/>
        <w:bidi w:val="0"/>
        <w:adjustRightInd w:val="0"/>
        <w:snapToGrid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切割下料废气通过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脉冲</w:t>
      </w:r>
      <w:r>
        <w:rPr>
          <w:rFonts w:hint="default" w:ascii="Times New Roman" w:hAnsi="Times New Roman" w:eastAsia="宋体" w:cs="Times New Roman"/>
          <w:color w:val="000000" w:themeColor="text1"/>
          <w:highlight w:val="none"/>
          <w:lang w:val="en-US" w:eastAsia="zh-CN"/>
          <w14:textFill>
            <w14:solidFill>
              <w14:schemeClr w14:val="tx1"/>
            </w14:solidFill>
          </w14:textFill>
        </w:rPr>
        <w:t>布袋除尘器处理后，通过15米高的5#排气筒排放</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；变动为：切割下料废气经原铁附件切割下料的脉冲布袋除尘器处理后通过15m高排气筒（DA001）排放。</w:t>
      </w:r>
    </w:p>
    <w:p w14:paraId="026EBEB0">
      <w:pPr>
        <w:pageBreakBefore w:val="0"/>
        <w:kinsoku/>
        <w:wordWrap/>
        <w:topLinePunct w:val="0"/>
        <w:bidi w:val="0"/>
        <w:adjustRightInd w:val="0"/>
        <w:snapToGrid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其它工艺、</w:t>
      </w:r>
      <w:r>
        <w:rPr>
          <w:rFonts w:hint="default" w:ascii="Times New Roman" w:hAnsi="Times New Roman" w:cs="Times New Roman"/>
          <w:color w:val="000000" w:themeColor="text1"/>
          <w:highlight w:val="none"/>
          <w:lang w:val="en-US" w:eastAsia="zh-CN"/>
          <w14:textFill>
            <w14:solidFill>
              <w14:schemeClr w14:val="tx1"/>
            </w14:solidFill>
          </w14:textFill>
        </w:rPr>
        <w:t>规模、</w:t>
      </w:r>
      <w:r>
        <w:rPr>
          <w:rFonts w:hint="default" w:ascii="Times New Roman" w:hAnsi="Times New Roman" w:cs="Times New Roman"/>
          <w:color w:val="000000" w:themeColor="text1"/>
          <w:highlight w:val="none"/>
          <w14:textFill>
            <w14:solidFill>
              <w14:schemeClr w14:val="tx1"/>
            </w14:solidFill>
          </w14:textFill>
        </w:rPr>
        <w:t>设备、污染物排放</w:t>
      </w:r>
      <w:r>
        <w:rPr>
          <w:rFonts w:hint="default" w:ascii="Times New Roman" w:hAnsi="Times New Roman" w:cs="Times New Roman"/>
          <w:color w:val="000000" w:themeColor="text1"/>
          <w:highlight w:val="none"/>
          <w:lang w:eastAsia="zh-CN"/>
          <w14:textFill>
            <w14:solidFill>
              <w14:schemeClr w14:val="tx1"/>
            </w14:solidFill>
          </w14:textFill>
        </w:rPr>
        <w:t>和环境保护措施</w:t>
      </w:r>
      <w:r>
        <w:rPr>
          <w:rFonts w:hint="default" w:ascii="Times New Roman" w:hAnsi="Times New Roman" w:cs="Times New Roman"/>
          <w:color w:val="000000" w:themeColor="text1"/>
          <w:highlight w:val="none"/>
          <w14:textFill>
            <w14:solidFill>
              <w14:schemeClr w14:val="tx1"/>
            </w14:solidFill>
          </w14:textFill>
        </w:rPr>
        <w:t>等内容均无变化。结合《关于印发&lt;污染影响类建设项目重大变动清单</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试行</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的通知&gt;》</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环办环评函</w:t>
      </w:r>
      <w:r>
        <w:rPr>
          <w:rFonts w:hint="default" w:ascii="Times New Roman" w:hAnsi="Times New Roman" w:cs="Times New Roman"/>
          <w:color w:val="000000" w:themeColor="text1"/>
          <w14:textFill>
            <w14:solidFill>
              <w14:schemeClr w14:val="tx1"/>
            </w14:solidFill>
          </w14:textFill>
        </w:rPr>
        <w:t>〔2020〕</w:t>
      </w:r>
      <w:r>
        <w:rPr>
          <w:rFonts w:hint="default" w:ascii="Times New Roman" w:hAnsi="Times New Roman" w:cs="Times New Roman"/>
          <w:color w:val="000000" w:themeColor="text1"/>
          <w:highlight w:val="none"/>
          <w14:textFill>
            <w14:solidFill>
              <w14:schemeClr w14:val="tx1"/>
            </w14:solidFill>
          </w14:textFill>
        </w:rPr>
        <w:t>688号</w:t>
      </w:r>
      <w:r>
        <w:rPr>
          <w:rFonts w:hint="eastAsia"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和现场实际情况，编制了《</w:t>
      </w:r>
      <w:r>
        <w:rPr>
          <w:rFonts w:hint="eastAsia" w:cs="Times New Roman"/>
          <w:color w:val="000000" w:themeColor="text1"/>
          <w:lang w:val="en-US" w:eastAsia="zh-CN"/>
          <w14:textFill>
            <w14:solidFill>
              <w14:schemeClr w14:val="tx1"/>
            </w14:solidFill>
          </w14:textFill>
        </w:rPr>
        <w:t>江苏恒康电力科技有限公司年产螺帽2500吨、铁附件60000吨扩建项目</w:t>
      </w:r>
      <w:r>
        <w:rPr>
          <w:rFonts w:hint="default" w:ascii="Times New Roman" w:hAnsi="Times New Roman" w:cs="Times New Roman"/>
          <w:color w:val="000000" w:themeColor="text1"/>
          <w:highlight w:val="none"/>
          <w:lang w:val="en-US" w:eastAsia="zh-CN"/>
          <w14:textFill>
            <w14:solidFill>
              <w14:schemeClr w14:val="tx1"/>
            </w14:solidFill>
          </w14:textFill>
        </w:rPr>
        <w:t>一般变动环境影响分析</w:t>
      </w:r>
      <w:r>
        <w:rPr>
          <w:rFonts w:hint="default" w:ascii="Times New Roman" w:hAnsi="Times New Roman" w:cs="Times New Roman"/>
          <w:color w:val="000000" w:themeColor="text1"/>
          <w:highlight w:val="none"/>
          <w14:textFill>
            <w14:solidFill>
              <w14:schemeClr w14:val="tx1"/>
            </w14:solidFill>
          </w14:textFill>
        </w:rPr>
        <w:t>》。</w:t>
      </w:r>
    </w:p>
    <w:p w14:paraId="5DC9F8B0">
      <w:pPr>
        <w:rPr>
          <w:rFonts w:hint="eastAsia"/>
          <w:lang w:val="en-US" w:eastAsia="zh-CN"/>
        </w:rPr>
      </w:pPr>
      <w:r>
        <w:rPr>
          <w:rFonts w:hint="eastAsia"/>
          <w:b/>
          <w:bCs/>
          <w:lang w:val="en-US" w:eastAsia="zh-CN"/>
        </w:rPr>
        <w:t>2.变动相符性分析</w:t>
      </w:r>
    </w:p>
    <w:p w14:paraId="6E918C0A">
      <w:pPr>
        <w:pageBreakBefore w:val="0"/>
        <w:kinsoku/>
        <w:wordWrap/>
        <w:topLinePunct w:val="0"/>
        <w:bidi w:val="0"/>
        <w:adjustRightInd w:val="0"/>
        <w:snapToGrid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根据以上批建不符的内容，对照《关于印发污染影响类建设项目重大变动清单</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试行</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的通知》</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环办环评函〔2020〕688号</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中相关要求相符性见下表。</w:t>
      </w:r>
    </w:p>
    <w:p w14:paraId="5EEBE224">
      <w:pPr>
        <w:keepNext w:val="0"/>
        <w:keepLines w:val="0"/>
        <w:pageBreakBefore w:val="0"/>
        <w:widowControl/>
        <w:kinsoku/>
        <w:wordWrap/>
        <w:overflowPunct/>
        <w:topLinePunct w:val="0"/>
        <w:autoSpaceDE w:val="0"/>
        <w:autoSpaceDN w:val="0"/>
        <w:bidi w:val="0"/>
        <w:adjustRightInd w:val="0"/>
        <w:snapToGrid w:val="0"/>
        <w:spacing w:line="440" w:lineRule="exact"/>
        <w:ind w:left="0" w:leftChars="0" w:right="0" w:rightChars="0" w:firstLine="0" w:firstLineChars="0"/>
        <w:jc w:val="center"/>
        <w:textAlignment w:val="baseline"/>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表2.4-1 本项目与环办环评函〔2020〕688号相符性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150"/>
        <w:gridCol w:w="1825"/>
        <w:gridCol w:w="1608"/>
        <w:gridCol w:w="1512"/>
      </w:tblGrid>
      <w:tr w14:paraId="3476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27" w:type="dxa"/>
            <w:noWrap w:val="0"/>
            <w:vAlign w:val="center"/>
          </w:tcPr>
          <w:p w14:paraId="0F625496">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项目</w:t>
            </w:r>
          </w:p>
        </w:tc>
        <w:tc>
          <w:tcPr>
            <w:tcW w:w="3271" w:type="dxa"/>
            <w:noWrap w:val="0"/>
            <w:vAlign w:val="center"/>
          </w:tcPr>
          <w:p w14:paraId="2C73F4FD">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文件要求</w:t>
            </w:r>
          </w:p>
        </w:tc>
        <w:tc>
          <w:tcPr>
            <w:tcW w:w="1859" w:type="dxa"/>
            <w:noWrap w:val="0"/>
            <w:vAlign w:val="center"/>
          </w:tcPr>
          <w:p w14:paraId="78AD5731">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环评设计情况</w:t>
            </w:r>
          </w:p>
        </w:tc>
        <w:tc>
          <w:tcPr>
            <w:tcW w:w="1626" w:type="dxa"/>
            <w:noWrap w:val="0"/>
            <w:vAlign w:val="center"/>
          </w:tcPr>
          <w:p w14:paraId="2CBA6AAC">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实际建设情况</w:t>
            </w:r>
          </w:p>
        </w:tc>
        <w:tc>
          <w:tcPr>
            <w:tcW w:w="1557" w:type="dxa"/>
            <w:noWrap w:val="0"/>
            <w:vAlign w:val="center"/>
          </w:tcPr>
          <w:p w14:paraId="3765605B">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是否属于重大变动</w:t>
            </w:r>
          </w:p>
        </w:tc>
      </w:tr>
      <w:tr w14:paraId="2DF8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27" w:type="dxa"/>
            <w:noWrap w:val="0"/>
            <w:vAlign w:val="center"/>
          </w:tcPr>
          <w:p w14:paraId="485ED27F">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性质</w:t>
            </w:r>
          </w:p>
        </w:tc>
        <w:tc>
          <w:tcPr>
            <w:tcW w:w="3271" w:type="dxa"/>
            <w:noWrap w:val="0"/>
            <w:vAlign w:val="center"/>
          </w:tcPr>
          <w:p w14:paraId="0CE3E271">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1.建设项目开发、使用功能发生变化的。</w:t>
            </w:r>
          </w:p>
        </w:tc>
        <w:tc>
          <w:tcPr>
            <w:tcW w:w="1859" w:type="dxa"/>
            <w:noWrap w:val="0"/>
            <w:vAlign w:val="center"/>
          </w:tcPr>
          <w:p w14:paraId="1F69378A">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改扩建</w:t>
            </w:r>
          </w:p>
        </w:tc>
        <w:tc>
          <w:tcPr>
            <w:tcW w:w="1626" w:type="dxa"/>
            <w:noWrap w:val="0"/>
            <w:vAlign w:val="center"/>
          </w:tcPr>
          <w:p w14:paraId="261E3769">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改扩建</w:t>
            </w:r>
          </w:p>
        </w:tc>
        <w:tc>
          <w:tcPr>
            <w:tcW w:w="1557" w:type="dxa"/>
            <w:noWrap w:val="0"/>
            <w:vAlign w:val="center"/>
          </w:tcPr>
          <w:p w14:paraId="5C869D45">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与环评</w:t>
            </w:r>
          </w:p>
          <w:p w14:paraId="364BAC3B">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一致。</w:t>
            </w:r>
          </w:p>
        </w:tc>
      </w:tr>
      <w:tr w14:paraId="0F1C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427" w:type="dxa"/>
            <w:noWrap w:val="0"/>
            <w:vAlign w:val="center"/>
          </w:tcPr>
          <w:p w14:paraId="46EBB72D">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规模</w:t>
            </w:r>
          </w:p>
        </w:tc>
        <w:tc>
          <w:tcPr>
            <w:tcW w:w="3271" w:type="dxa"/>
            <w:noWrap w:val="0"/>
            <w:vAlign w:val="center"/>
          </w:tcPr>
          <w:p w14:paraId="117350EE">
            <w:pPr>
              <w:pStyle w:val="5"/>
              <w:keepNext w:val="0"/>
              <w:keepLines w:val="0"/>
              <w:pageBreakBefore w:val="0"/>
              <w:numPr>
                <w:ilvl w:val="0"/>
                <w:numId w:val="0"/>
              </w:numPr>
              <w:wordWrap/>
              <w:overflowPunct/>
              <w:topLinePunct w:val="0"/>
              <w:bidi w:val="0"/>
              <w:adjustRightInd w:val="0"/>
              <w:snapToGrid w:val="0"/>
              <w:spacing w:after="0" w:line="240" w:lineRule="auto"/>
              <w:ind w:leftChars="0" w:firstLine="0" w:firstLineChars="0"/>
              <w:jc w:val="both"/>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2.生产、处置或储存能力增大30%及以上的。</w:t>
            </w:r>
          </w:p>
          <w:p w14:paraId="7ED2169D">
            <w:pPr>
              <w:pStyle w:val="5"/>
              <w:keepNext w:val="0"/>
              <w:keepLines w:val="0"/>
              <w:pageBreakBefore w:val="0"/>
              <w:numPr>
                <w:ilvl w:val="0"/>
                <w:numId w:val="0"/>
              </w:numPr>
              <w:wordWrap/>
              <w:overflowPunct/>
              <w:topLinePunct w:val="0"/>
              <w:bidi w:val="0"/>
              <w:adjustRightInd w:val="0"/>
              <w:snapToGrid w:val="0"/>
              <w:spacing w:after="0" w:line="240" w:lineRule="auto"/>
              <w:ind w:leftChars="0" w:firstLine="0" w:firstLineChars="0"/>
              <w:jc w:val="both"/>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3.生产、处置或储存能力增大，导致废水第一类污染物排放量增加的。</w:t>
            </w:r>
          </w:p>
          <w:p w14:paraId="2DC31CAC">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bidi="ar-SA"/>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859" w:type="dxa"/>
            <w:noWrap w:val="0"/>
            <w:vAlign w:val="center"/>
          </w:tcPr>
          <w:p w14:paraId="5C02BF05">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bidi="ar-SA"/>
              </w:rPr>
              <w:t>年产铁附件60000t/a，螺帽2500t/a。</w:t>
            </w:r>
          </w:p>
        </w:tc>
        <w:tc>
          <w:tcPr>
            <w:tcW w:w="1626" w:type="dxa"/>
            <w:noWrap w:val="0"/>
            <w:vAlign w:val="center"/>
          </w:tcPr>
          <w:p w14:paraId="68E41D1F">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bidi="ar-SA"/>
              </w:rPr>
              <w:t>年产铁附件60000t/a，螺帽2500t/a。</w:t>
            </w:r>
          </w:p>
        </w:tc>
        <w:tc>
          <w:tcPr>
            <w:tcW w:w="1557" w:type="dxa"/>
            <w:noWrap w:val="0"/>
            <w:vAlign w:val="center"/>
          </w:tcPr>
          <w:p w14:paraId="547F0BEE">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与环评</w:t>
            </w:r>
          </w:p>
          <w:p w14:paraId="6AF7CC75">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一致。</w:t>
            </w:r>
          </w:p>
        </w:tc>
      </w:tr>
      <w:tr w14:paraId="1563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27" w:type="dxa"/>
            <w:noWrap w:val="0"/>
            <w:vAlign w:val="center"/>
          </w:tcPr>
          <w:p w14:paraId="0C3C0D5F">
            <w:pPr>
              <w:pStyle w:val="5"/>
              <w:keepNext w:val="0"/>
              <w:keepLines w:val="0"/>
              <w:pageBreakBefore w:val="0"/>
              <w:wordWrap/>
              <w:overflowPunct/>
              <w:topLinePunct w:val="0"/>
              <w:bidi w:val="0"/>
              <w:adjustRightInd w:val="0"/>
              <w:snapToGrid w:val="0"/>
              <w:spacing w:after="0" w:line="240" w:lineRule="auto"/>
              <w:ind w:left="0" w:leftChars="0" w:firstLine="0" w:firstLineChars="0"/>
              <w:jc w:val="center"/>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地点</w:t>
            </w:r>
          </w:p>
        </w:tc>
        <w:tc>
          <w:tcPr>
            <w:tcW w:w="3271" w:type="dxa"/>
            <w:noWrap w:val="0"/>
            <w:vAlign w:val="center"/>
          </w:tcPr>
          <w:p w14:paraId="1CEF7520">
            <w:pPr>
              <w:pStyle w:val="5"/>
              <w:keepNext w:val="0"/>
              <w:keepLines w:val="0"/>
              <w:pageBreakBefore w:val="0"/>
              <w:numPr>
                <w:ilvl w:val="0"/>
                <w:numId w:val="0"/>
              </w:numPr>
              <w:wordWrap/>
              <w:overflowPunct/>
              <w:topLinePunct w:val="0"/>
              <w:bidi w:val="0"/>
              <w:adjustRightInd w:val="0"/>
              <w:snapToGrid w:val="0"/>
              <w:spacing w:after="0" w:line="240" w:lineRule="auto"/>
              <w:ind w:leftChars="0" w:firstLine="0" w:firstLineChars="0"/>
              <w:jc w:val="both"/>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5.重新选址；在原厂址附近调整（包括总平面布置变化）导致环境防护距离范围变化且新增敏感点的。</w:t>
            </w:r>
          </w:p>
        </w:tc>
        <w:tc>
          <w:tcPr>
            <w:tcW w:w="1859" w:type="dxa"/>
            <w:noWrap w:val="0"/>
            <w:vAlign w:val="center"/>
          </w:tcPr>
          <w:p w14:paraId="5F193E2A">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bidi="ar-SA"/>
              </w:rPr>
              <w:t>徐州市睢宁县经济开发区永昶路903号。</w:t>
            </w:r>
          </w:p>
        </w:tc>
        <w:tc>
          <w:tcPr>
            <w:tcW w:w="1626" w:type="dxa"/>
            <w:noWrap w:val="0"/>
            <w:vAlign w:val="center"/>
          </w:tcPr>
          <w:p w14:paraId="3052908B">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bidi="ar-SA"/>
              </w:rPr>
              <w:t>徐州市睢宁县经济开发区永昶路903号。</w:t>
            </w:r>
          </w:p>
        </w:tc>
        <w:tc>
          <w:tcPr>
            <w:tcW w:w="1557" w:type="dxa"/>
            <w:noWrap w:val="0"/>
            <w:vAlign w:val="center"/>
          </w:tcPr>
          <w:p w14:paraId="41FA1FD1">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与环评</w:t>
            </w:r>
          </w:p>
          <w:p w14:paraId="02508F6C">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一致。</w:t>
            </w:r>
          </w:p>
        </w:tc>
      </w:tr>
      <w:tr w14:paraId="0EBB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427" w:type="dxa"/>
            <w:vMerge w:val="restart"/>
            <w:noWrap w:val="0"/>
            <w:vAlign w:val="center"/>
          </w:tcPr>
          <w:p w14:paraId="190810DD">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生产</w:t>
            </w:r>
          </w:p>
          <w:p w14:paraId="0512BAFB">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工艺</w:t>
            </w:r>
          </w:p>
        </w:tc>
        <w:tc>
          <w:tcPr>
            <w:tcW w:w="3271" w:type="dxa"/>
            <w:vMerge w:val="restart"/>
            <w:noWrap w:val="0"/>
            <w:vAlign w:val="center"/>
          </w:tcPr>
          <w:p w14:paraId="1F145C82">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.新增产品品种或生产工艺</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含主要生产装置、设备及配套设施</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、主要原辅材料、燃料变化，导致以下情形之一：</w:t>
            </w:r>
          </w:p>
          <w:p w14:paraId="78595FD9">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新增排放污染物种类的</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毒性、挥发性降低的除外</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p>
          <w:p w14:paraId="5A55498B">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位于环境质量不达标区的建设项目相应污染物排放量增；</w:t>
            </w:r>
          </w:p>
          <w:p w14:paraId="19772F62">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废水第一类污染物排放量增加的；</w:t>
            </w:r>
          </w:p>
          <w:p w14:paraId="63E9B0B4">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其他污染物排放量增加10%及以上的。</w:t>
            </w:r>
          </w:p>
          <w:p w14:paraId="21A65909">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7.物料运输、装卸、贮存方式变化，导致大气污染物无组织排放量增加10%及以上的。</w:t>
            </w:r>
            <w:r>
              <w:rPr>
                <w:rFonts w:hint="default" w:ascii="Times New Roman" w:hAnsi="Times New Roman" w:eastAsia="宋体" w:cs="Times New Roman"/>
                <w:color w:val="auto"/>
                <w:sz w:val="21"/>
                <w:szCs w:val="21"/>
                <w:highlight w:val="none"/>
                <w:lang w:val="en-US" w:eastAsia="zh-CN"/>
              </w:rPr>
              <w:t xml:space="preserve"> </w:t>
            </w:r>
          </w:p>
        </w:tc>
        <w:tc>
          <w:tcPr>
            <w:tcW w:w="1859" w:type="dxa"/>
            <w:noWrap w:val="0"/>
            <w:vAlign w:val="center"/>
          </w:tcPr>
          <w:p w14:paraId="57C05AEE">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螺帽：下料-冲压-淬火-回火-机加工-攻牙-入库；铁附件：下料-机加工-焊接-热镀锌（委外）。</w:t>
            </w:r>
          </w:p>
        </w:tc>
        <w:tc>
          <w:tcPr>
            <w:tcW w:w="1626" w:type="dxa"/>
            <w:noWrap w:val="0"/>
            <w:vAlign w:val="center"/>
          </w:tcPr>
          <w:p w14:paraId="38157CFC">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螺帽：下料-冲压-淬火-回火-机加工-攻牙-入库；铁附件：下料-机加工-焊接-热镀锌（委外）。</w:t>
            </w:r>
          </w:p>
        </w:tc>
        <w:tc>
          <w:tcPr>
            <w:tcW w:w="1557" w:type="dxa"/>
            <w:noWrap w:val="0"/>
            <w:vAlign w:val="center"/>
          </w:tcPr>
          <w:p w14:paraId="750432DC">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w:t>
            </w:r>
          </w:p>
          <w:p w14:paraId="16B590CE">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一致。</w:t>
            </w:r>
          </w:p>
        </w:tc>
      </w:tr>
      <w:tr w14:paraId="53E1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0C2025F6">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0700AA1A">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p>
        </w:tc>
        <w:tc>
          <w:tcPr>
            <w:tcW w:w="1859" w:type="dxa"/>
            <w:noWrap w:val="0"/>
            <w:vAlign w:val="center"/>
          </w:tcPr>
          <w:p w14:paraId="585C6F41">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二氧化碳年用量0t/a，液氧年用量0t/a。</w:t>
            </w:r>
          </w:p>
        </w:tc>
        <w:tc>
          <w:tcPr>
            <w:tcW w:w="1626" w:type="dxa"/>
            <w:noWrap w:val="0"/>
            <w:vAlign w:val="center"/>
          </w:tcPr>
          <w:p w14:paraId="1852C4D6">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二氧化碳年用量18t/a，液氧年用量18t/a。</w:t>
            </w:r>
          </w:p>
        </w:tc>
        <w:tc>
          <w:tcPr>
            <w:tcW w:w="1557" w:type="dxa"/>
            <w:noWrap w:val="0"/>
            <w:vAlign w:val="center"/>
          </w:tcPr>
          <w:p w14:paraId="5193D9FE">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环评未提及。</w:t>
            </w:r>
          </w:p>
        </w:tc>
      </w:tr>
      <w:tr w14:paraId="4E7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27" w:type="dxa"/>
            <w:vMerge w:val="restart"/>
            <w:noWrap w:val="0"/>
            <w:vAlign w:val="center"/>
          </w:tcPr>
          <w:p w14:paraId="533509F0">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环境保护措施</w:t>
            </w:r>
          </w:p>
        </w:tc>
        <w:tc>
          <w:tcPr>
            <w:tcW w:w="3271" w:type="dxa"/>
            <w:vMerge w:val="restart"/>
            <w:noWrap w:val="0"/>
            <w:vAlign w:val="center"/>
          </w:tcPr>
          <w:p w14:paraId="2DADFB39">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8.废气、废水污染防治措施变化，导致第6条中所列情形之一（废气无组织排放改为有组织排放、污染防治措施强化或改进的除外）或大气污染物无组织排放量增加10%及以上的。</w:t>
            </w:r>
          </w:p>
          <w:p w14:paraId="1D6286A8">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9.新增废水直接排放口；废水由间接排放改为直接排放；废水直接排</w:t>
            </w:r>
            <w:r>
              <w:rPr>
                <w:rFonts w:hint="default" w:ascii="Times New Roman" w:hAnsi="Times New Roman" w:eastAsia="宋体" w:cs="Times New Roman"/>
                <w:color w:val="auto"/>
                <w:sz w:val="21"/>
                <w:szCs w:val="21"/>
                <w:highlight w:val="none"/>
                <w:lang w:eastAsia="zh-CN"/>
              </w:rPr>
              <w:t>放</w:t>
            </w:r>
            <w:r>
              <w:rPr>
                <w:rFonts w:hint="default" w:ascii="Times New Roman" w:hAnsi="Times New Roman" w:eastAsia="宋体" w:cs="Times New Roman"/>
                <w:color w:val="auto"/>
                <w:sz w:val="21"/>
                <w:szCs w:val="21"/>
                <w:highlight w:val="none"/>
              </w:rPr>
              <w:t>口位置变化，导致不利环境影响加重的。</w:t>
            </w:r>
          </w:p>
          <w:p w14:paraId="0571A715">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10.新增废气主要排放口（废气无组织改为有组织排放的除外）；主要排放就排气筒高度降低10%及以上的。</w:t>
            </w:r>
          </w:p>
          <w:p w14:paraId="7309B35E">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11.噪声、土壤或地下水污染防治措施变化，导致不利于环境影响加重的。</w:t>
            </w:r>
          </w:p>
          <w:p w14:paraId="1FA5FFFB">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固体废物利用处置方式由委托外单位处置改为自行利用处置的（自行利用处置设施单独来战环境影响评价的除外）；固体废物自行处置设施单独开展环境影响评价的除外，固体废物自行处置方式变化，导致不利环境影响加重的。</w:t>
            </w:r>
          </w:p>
          <w:p w14:paraId="2E94F83A">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13.事故废水暂存能力或拦截设施变化，导致环境风险防范能力弱化或降低的。</w:t>
            </w:r>
          </w:p>
        </w:tc>
        <w:tc>
          <w:tcPr>
            <w:tcW w:w="1859" w:type="dxa"/>
            <w:noWrap w:val="0"/>
            <w:vAlign w:val="center"/>
          </w:tcPr>
          <w:p w14:paraId="250F85CF">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生活污水经化粪池处理后、食堂废水经隔油池处理后，依托厂区市政管网接管至睢宁经济开发区污水处理厂处理。</w:t>
            </w:r>
          </w:p>
        </w:tc>
        <w:tc>
          <w:tcPr>
            <w:tcW w:w="1626" w:type="dxa"/>
            <w:noWrap w:val="0"/>
            <w:vAlign w:val="center"/>
          </w:tcPr>
          <w:p w14:paraId="3C62075C">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无生产废水产生，生活污水经隔油池处理、食堂废水经化粪池处理后，接管至睢宁经济开发区污水处理厂进一步处理。</w:t>
            </w:r>
          </w:p>
        </w:tc>
        <w:tc>
          <w:tcPr>
            <w:tcW w:w="1557" w:type="dxa"/>
            <w:noWrap w:val="0"/>
            <w:vAlign w:val="center"/>
          </w:tcPr>
          <w:p w14:paraId="2767EFF0">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与环评</w:t>
            </w:r>
          </w:p>
          <w:p w14:paraId="23F2895C">
            <w:pPr>
              <w:keepNext w:val="0"/>
              <w:keepLines w:val="0"/>
              <w:pageBreakBefore w:val="0"/>
              <w:wordWrap/>
              <w:overflowPunct/>
              <w:topLinePunct w:val="0"/>
              <w:bidi w:val="0"/>
              <w:adjustRightInd w:val="0"/>
              <w:snapToGrid w:val="0"/>
              <w:spacing w:after="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一致。</w:t>
            </w:r>
          </w:p>
        </w:tc>
      </w:tr>
      <w:tr w14:paraId="0FA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7" w:type="dxa"/>
            <w:vMerge w:val="continue"/>
            <w:noWrap w:val="0"/>
            <w:vAlign w:val="center"/>
          </w:tcPr>
          <w:p w14:paraId="3602B0CB">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49C11D3A">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auto"/>
                <w:sz w:val="21"/>
                <w:szCs w:val="21"/>
                <w:highlight w:val="none"/>
              </w:rPr>
            </w:pPr>
          </w:p>
        </w:tc>
        <w:tc>
          <w:tcPr>
            <w:tcW w:w="1859" w:type="dxa"/>
            <w:noWrap w:val="0"/>
            <w:vAlign w:val="center"/>
          </w:tcPr>
          <w:p w14:paraId="7F515DAD">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yellow"/>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切割下料废气通过脉冲布袋除尘器处理后，通过15米高的5#排气筒排放。</w:t>
            </w:r>
          </w:p>
        </w:tc>
        <w:tc>
          <w:tcPr>
            <w:tcW w:w="1626" w:type="dxa"/>
            <w:noWrap w:val="0"/>
            <w:vAlign w:val="center"/>
          </w:tcPr>
          <w:p w14:paraId="66753AC0">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auto"/>
                <w:kern w:val="0"/>
                <w:sz w:val="21"/>
                <w:szCs w:val="21"/>
                <w:highlight w:val="yellow"/>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切割下料废气</w:t>
            </w:r>
            <w:r>
              <w:rPr>
                <w:rFonts w:hint="eastAsia" w:ascii="Times New Roman" w:hAnsi="Times New Roman" w:eastAsia="宋体" w:cs="Times New Roman"/>
                <w:b w:val="0"/>
                <w:bCs w:val="0"/>
                <w:color w:val="auto"/>
                <w:kern w:val="0"/>
                <w:sz w:val="21"/>
                <w:szCs w:val="21"/>
                <w:highlight w:val="none"/>
                <w:lang w:val="en-US" w:eastAsia="zh-CN" w:bidi="ar-SA"/>
              </w:rPr>
              <w:t>经</w:t>
            </w:r>
            <w:r>
              <w:rPr>
                <w:rFonts w:hint="default" w:ascii="Times New Roman" w:hAnsi="Times New Roman" w:eastAsia="宋体" w:cs="Times New Roman"/>
                <w:b w:val="0"/>
                <w:bCs w:val="0"/>
                <w:color w:val="auto"/>
                <w:kern w:val="0"/>
                <w:sz w:val="21"/>
                <w:szCs w:val="21"/>
                <w:highlight w:val="none"/>
                <w:lang w:val="en-US" w:eastAsia="zh-CN" w:bidi="ar-SA"/>
              </w:rPr>
              <w:t>原铁附件切割下料废气</w:t>
            </w:r>
            <w:r>
              <w:rPr>
                <w:rFonts w:hint="eastAsia" w:ascii="Times New Roman" w:hAnsi="Times New Roman" w:eastAsia="宋体" w:cs="Times New Roman"/>
                <w:b w:val="0"/>
                <w:bCs w:val="0"/>
                <w:color w:val="auto"/>
                <w:kern w:val="0"/>
                <w:sz w:val="21"/>
                <w:szCs w:val="21"/>
                <w:highlight w:val="none"/>
                <w:lang w:val="en-US" w:eastAsia="zh-CN" w:bidi="ar-SA"/>
              </w:rPr>
              <w:t>的</w:t>
            </w:r>
            <w:r>
              <w:rPr>
                <w:rFonts w:hint="default" w:ascii="Times New Roman" w:hAnsi="Times New Roman" w:eastAsia="宋体" w:cs="Times New Roman"/>
                <w:b w:val="0"/>
                <w:bCs w:val="0"/>
                <w:color w:val="auto"/>
                <w:kern w:val="0"/>
                <w:sz w:val="21"/>
                <w:szCs w:val="21"/>
                <w:highlight w:val="none"/>
                <w:lang w:val="en-US" w:eastAsia="zh-CN" w:bidi="ar-SA"/>
              </w:rPr>
              <w:t>经过脉冲布袋除尘器处理后通过15m高排气筒（DA001）排放。</w:t>
            </w:r>
          </w:p>
        </w:tc>
        <w:tc>
          <w:tcPr>
            <w:tcW w:w="1557" w:type="dxa"/>
            <w:noWrap w:val="0"/>
            <w:vAlign w:val="center"/>
          </w:tcPr>
          <w:p w14:paraId="23E3E8A3">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yellow"/>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根据企业实际情况，项目铁附件生产线及螺帽生产线不同时生产，两条生产线产生的切割下料废气分别经过同一套布袋除尘器处理后分别排放，未新增污染物种类及排放量，项目变动不属于重大变动</w:t>
            </w:r>
            <w:r>
              <w:rPr>
                <w:rFonts w:hint="eastAsia" w:ascii="Times New Roman" w:hAnsi="Times New Roman" w:eastAsia="宋体" w:cs="Times New Roman"/>
                <w:b w:val="0"/>
                <w:bCs w:val="0"/>
                <w:color w:val="auto"/>
                <w:kern w:val="0"/>
                <w:sz w:val="21"/>
                <w:szCs w:val="21"/>
                <w:highlight w:val="none"/>
                <w:lang w:val="en-US" w:eastAsia="zh-CN" w:bidi="ar-SA"/>
              </w:rPr>
              <w:t>。</w:t>
            </w:r>
          </w:p>
        </w:tc>
      </w:tr>
      <w:tr w14:paraId="2835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7" w:type="dxa"/>
            <w:vMerge w:val="continue"/>
            <w:noWrap w:val="0"/>
            <w:vAlign w:val="center"/>
          </w:tcPr>
          <w:p w14:paraId="0B447382">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3CF4115A">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rPr>
            </w:pPr>
          </w:p>
        </w:tc>
        <w:tc>
          <w:tcPr>
            <w:tcW w:w="1859" w:type="dxa"/>
            <w:noWrap w:val="0"/>
            <w:vAlign w:val="center"/>
          </w:tcPr>
          <w:p w14:paraId="48052F65">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全厂焊接烟尘采用脉冲袋式除尘器收集处理，处理后经15米高4#排气筒排放。</w:t>
            </w:r>
          </w:p>
        </w:tc>
        <w:tc>
          <w:tcPr>
            <w:tcW w:w="1626" w:type="dxa"/>
            <w:noWrap w:val="0"/>
            <w:vAlign w:val="center"/>
          </w:tcPr>
          <w:p w14:paraId="41825974">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焊接烟尘经集气罩收集后通过脉冲布袋除尘器处理后通过15m高排气筒（DA004）排放。</w:t>
            </w:r>
          </w:p>
        </w:tc>
        <w:tc>
          <w:tcPr>
            <w:tcW w:w="1557" w:type="dxa"/>
            <w:noWrap w:val="0"/>
            <w:vAlign w:val="center"/>
          </w:tcPr>
          <w:p w14:paraId="2620D14E">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与环评</w:t>
            </w:r>
          </w:p>
          <w:p w14:paraId="3FDE3182">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一致</w:t>
            </w:r>
          </w:p>
        </w:tc>
      </w:tr>
      <w:tr w14:paraId="13FE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7" w:type="dxa"/>
            <w:vMerge w:val="continue"/>
            <w:noWrap w:val="0"/>
            <w:vAlign w:val="center"/>
          </w:tcPr>
          <w:p w14:paraId="701F1A50">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33D31F96">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rPr>
            </w:pPr>
          </w:p>
        </w:tc>
        <w:tc>
          <w:tcPr>
            <w:tcW w:w="1859" w:type="dxa"/>
            <w:noWrap w:val="0"/>
            <w:vAlign w:val="center"/>
          </w:tcPr>
          <w:p w14:paraId="18A17F94">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color w:val="000000"/>
                <w:sz w:val="21"/>
                <w:szCs w:val="21"/>
                <w:lang w:eastAsia="zh-CN"/>
              </w:rPr>
              <w:t>淬火废气</w:t>
            </w:r>
            <w:r>
              <w:rPr>
                <w:rFonts w:hint="default" w:ascii="Times New Roman" w:hAnsi="Times New Roman" w:eastAsia="宋体" w:cs="Times New Roman"/>
                <w:color w:val="000000"/>
                <w:sz w:val="21"/>
                <w:szCs w:val="21"/>
                <w:lang w:val="en-US" w:eastAsia="zh-CN"/>
              </w:rPr>
              <w:t>车间内无组织排放。</w:t>
            </w:r>
          </w:p>
        </w:tc>
        <w:tc>
          <w:tcPr>
            <w:tcW w:w="1626" w:type="dxa"/>
            <w:noWrap w:val="0"/>
            <w:vAlign w:val="center"/>
          </w:tcPr>
          <w:p w14:paraId="431DC9DC">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color w:val="000000"/>
                <w:sz w:val="21"/>
                <w:szCs w:val="21"/>
                <w:lang w:eastAsia="zh-CN"/>
              </w:rPr>
              <w:t>淬火废气</w:t>
            </w:r>
            <w:r>
              <w:rPr>
                <w:rFonts w:hint="default" w:ascii="Times New Roman" w:hAnsi="Times New Roman" w:eastAsia="宋体" w:cs="Times New Roman"/>
                <w:color w:val="000000"/>
                <w:sz w:val="21"/>
                <w:szCs w:val="21"/>
                <w:lang w:val="en-US" w:eastAsia="zh-CN"/>
              </w:rPr>
              <w:t>车间内无组织排放。</w:t>
            </w:r>
          </w:p>
        </w:tc>
        <w:tc>
          <w:tcPr>
            <w:tcW w:w="1557" w:type="dxa"/>
            <w:noWrap w:val="0"/>
            <w:vAlign w:val="center"/>
          </w:tcPr>
          <w:p w14:paraId="5782687F">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与环评</w:t>
            </w:r>
          </w:p>
          <w:p w14:paraId="1CEA0ECA">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一致</w:t>
            </w:r>
          </w:p>
        </w:tc>
      </w:tr>
      <w:tr w14:paraId="3B9A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7" w:type="dxa"/>
            <w:vMerge w:val="continue"/>
            <w:noWrap w:val="0"/>
            <w:vAlign w:val="center"/>
          </w:tcPr>
          <w:p w14:paraId="0988DE32">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4470E46D">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rPr>
            </w:pPr>
          </w:p>
        </w:tc>
        <w:tc>
          <w:tcPr>
            <w:tcW w:w="1859" w:type="dxa"/>
            <w:noWrap w:val="0"/>
            <w:vAlign w:val="center"/>
          </w:tcPr>
          <w:p w14:paraId="750B64A1">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color w:val="000000"/>
                <w:sz w:val="21"/>
                <w:szCs w:val="21"/>
                <w:highlight w:val="none"/>
              </w:rPr>
              <w:t>食堂油烟经高效油烟净化器处理后由专用烟道引至屋顶排放</w:t>
            </w:r>
            <w:r>
              <w:rPr>
                <w:rFonts w:hint="default" w:ascii="Times New Roman" w:hAnsi="Times New Roman" w:eastAsia="宋体" w:cs="Times New Roman"/>
                <w:b w:val="0"/>
                <w:bCs/>
                <w:color w:val="000000"/>
                <w:sz w:val="21"/>
                <w:szCs w:val="21"/>
                <w:highlight w:val="none"/>
                <w:lang w:eastAsia="zh-CN"/>
              </w:rPr>
              <w:t>。</w:t>
            </w:r>
          </w:p>
        </w:tc>
        <w:tc>
          <w:tcPr>
            <w:tcW w:w="1626" w:type="dxa"/>
            <w:noWrap w:val="0"/>
            <w:vAlign w:val="center"/>
          </w:tcPr>
          <w:p w14:paraId="6890C10E">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color w:val="000000"/>
                <w:sz w:val="21"/>
                <w:szCs w:val="21"/>
                <w:highlight w:val="none"/>
              </w:rPr>
              <w:t>食堂油烟经高效油烟净化器处理后由专用烟道引至屋顶排放</w:t>
            </w:r>
            <w:r>
              <w:rPr>
                <w:rFonts w:hint="default" w:ascii="Times New Roman" w:hAnsi="Times New Roman" w:eastAsia="宋体" w:cs="Times New Roman"/>
                <w:b w:val="0"/>
                <w:bCs/>
                <w:color w:val="000000"/>
                <w:sz w:val="21"/>
                <w:szCs w:val="21"/>
                <w:highlight w:val="none"/>
                <w:lang w:eastAsia="zh-CN"/>
              </w:rPr>
              <w:t>。</w:t>
            </w:r>
          </w:p>
        </w:tc>
        <w:tc>
          <w:tcPr>
            <w:tcW w:w="1557" w:type="dxa"/>
            <w:noWrap w:val="0"/>
            <w:vAlign w:val="center"/>
          </w:tcPr>
          <w:p w14:paraId="247B3C42">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与环评</w:t>
            </w:r>
          </w:p>
          <w:p w14:paraId="303BD49C">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一致</w:t>
            </w:r>
          </w:p>
        </w:tc>
      </w:tr>
      <w:tr w14:paraId="7702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27" w:type="dxa"/>
            <w:vMerge w:val="continue"/>
            <w:noWrap w:val="0"/>
            <w:vAlign w:val="center"/>
          </w:tcPr>
          <w:p w14:paraId="682C91ED">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52510144">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rPr>
            </w:pPr>
          </w:p>
        </w:tc>
        <w:tc>
          <w:tcPr>
            <w:tcW w:w="1859" w:type="dxa"/>
            <w:noWrap w:val="0"/>
            <w:vAlign w:val="center"/>
          </w:tcPr>
          <w:p w14:paraId="1C2387E9">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color w:val="000000"/>
                <w:sz w:val="21"/>
                <w:szCs w:val="21"/>
                <w:highlight w:val="none"/>
              </w:rPr>
              <w:t>通过采取减振、隔声等措施后达标排放。</w:t>
            </w:r>
          </w:p>
        </w:tc>
        <w:tc>
          <w:tcPr>
            <w:tcW w:w="1626" w:type="dxa"/>
            <w:noWrap w:val="0"/>
            <w:vAlign w:val="center"/>
          </w:tcPr>
          <w:p w14:paraId="7210A001">
            <w:pPr>
              <w:keepNext w:val="0"/>
              <w:keepLines w:val="0"/>
              <w:pageBreakBefore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生产期间产生的噪声通过选用低噪声设备、隔声减震、合理布局等措施降噪。</w:t>
            </w:r>
          </w:p>
        </w:tc>
        <w:tc>
          <w:tcPr>
            <w:tcW w:w="1557" w:type="dxa"/>
            <w:noWrap w:val="0"/>
            <w:vAlign w:val="center"/>
          </w:tcPr>
          <w:p w14:paraId="090285CF">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与环评</w:t>
            </w:r>
          </w:p>
          <w:p w14:paraId="2857E062">
            <w:pPr>
              <w:keepNext w:val="0"/>
              <w:keepLines w:val="0"/>
              <w:pageBreakBefore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一致</w:t>
            </w:r>
          </w:p>
        </w:tc>
      </w:tr>
      <w:tr w14:paraId="10A1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27" w:type="dxa"/>
            <w:vMerge w:val="continue"/>
            <w:noWrap w:val="0"/>
            <w:vAlign w:val="center"/>
          </w:tcPr>
          <w:p w14:paraId="1949FE01">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6DD97031">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rPr>
            </w:pPr>
          </w:p>
        </w:tc>
        <w:tc>
          <w:tcPr>
            <w:tcW w:w="1859" w:type="dxa"/>
            <w:noWrap w:val="0"/>
            <w:vAlign w:val="center"/>
          </w:tcPr>
          <w:p w14:paraId="4C268A5A">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yellow"/>
                <w:lang w:val="en-US" w:eastAsia="zh-CN" w:bidi="ar-SA"/>
              </w:rPr>
            </w:pPr>
            <w:r>
              <w:rPr>
                <w:rFonts w:hint="default" w:ascii="Times New Roman" w:hAnsi="Times New Roman" w:eastAsia="宋体" w:cs="Times New Roman"/>
                <w:b w:val="0"/>
                <w:bCs/>
                <w:color w:val="000000"/>
                <w:sz w:val="21"/>
                <w:szCs w:val="21"/>
                <w:highlight w:val="none"/>
              </w:rPr>
              <w:t>一般固废</w:t>
            </w:r>
            <w:r>
              <w:rPr>
                <w:rFonts w:hint="default" w:ascii="Times New Roman" w:hAnsi="Times New Roman" w:eastAsia="宋体" w:cs="Times New Roman"/>
                <w:b w:val="0"/>
                <w:bCs/>
                <w:color w:val="000000"/>
                <w:sz w:val="21"/>
                <w:szCs w:val="21"/>
                <w:highlight w:val="none"/>
                <w:lang w:eastAsia="zh-CN"/>
              </w:rPr>
              <w:t>仓库</w:t>
            </w:r>
            <w:r>
              <w:rPr>
                <w:rFonts w:hint="default" w:ascii="Times New Roman" w:hAnsi="Times New Roman" w:eastAsia="宋体" w:cs="Times New Roman"/>
                <w:b w:val="0"/>
                <w:bCs/>
                <w:color w:val="000000"/>
                <w:sz w:val="21"/>
                <w:szCs w:val="21"/>
                <w:highlight w:val="none"/>
                <w:lang w:val="en-US" w:eastAsia="zh-CN"/>
              </w:rPr>
              <w:t>20</w:t>
            </w:r>
            <w:r>
              <w:rPr>
                <w:rFonts w:hint="default" w:ascii="Times New Roman" w:hAnsi="Times New Roman" w:eastAsia="宋体" w:cs="Times New Roman"/>
                <w:b w:val="0"/>
                <w:bCs/>
                <w:color w:val="000000"/>
                <w:sz w:val="21"/>
                <w:szCs w:val="21"/>
                <w:highlight w:val="none"/>
              </w:rPr>
              <w:t>m</w:t>
            </w:r>
            <w:r>
              <w:rPr>
                <w:rFonts w:hint="default" w:ascii="Times New Roman" w:hAnsi="Times New Roman" w:eastAsia="宋体" w:cs="Times New Roman"/>
                <w:b w:val="0"/>
                <w:bCs/>
                <w:color w:val="000000"/>
                <w:sz w:val="21"/>
                <w:szCs w:val="21"/>
                <w:highlight w:val="none"/>
                <w:vertAlign w:val="superscript"/>
              </w:rPr>
              <w:t>2</w:t>
            </w:r>
            <w:r>
              <w:rPr>
                <w:rFonts w:hint="default" w:ascii="Times New Roman" w:hAnsi="Times New Roman" w:eastAsia="宋体" w:cs="Times New Roman"/>
                <w:b w:val="0"/>
                <w:bCs/>
                <w:color w:val="000000"/>
                <w:sz w:val="21"/>
                <w:szCs w:val="21"/>
                <w:highlight w:val="none"/>
                <w:vertAlign w:val="baseline"/>
                <w:lang w:eastAsia="zh-CN"/>
              </w:rPr>
              <w:t>，</w:t>
            </w:r>
            <w:r>
              <w:rPr>
                <w:rFonts w:hint="default" w:ascii="Times New Roman" w:hAnsi="Times New Roman" w:eastAsia="宋体" w:cs="Times New Roman"/>
                <w:b w:val="0"/>
                <w:bCs/>
                <w:color w:val="000000"/>
                <w:sz w:val="21"/>
                <w:szCs w:val="21"/>
                <w:highlight w:val="none"/>
                <w:lang w:val="en-US" w:eastAsia="zh-CN"/>
              </w:rPr>
              <w:t>生活垃圾委托环卫部门统一清运，餐厨垃圾委托专业单位处置。</w:t>
            </w:r>
          </w:p>
        </w:tc>
        <w:tc>
          <w:tcPr>
            <w:tcW w:w="1626" w:type="dxa"/>
            <w:noWrap w:val="0"/>
            <w:vAlign w:val="center"/>
          </w:tcPr>
          <w:p w14:paraId="0E93F5FF">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yellow"/>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一般固废临时存放场所，设置在2#车间内，依托现有，面积共约20m</w:t>
            </w:r>
            <w:r>
              <w:rPr>
                <w:rFonts w:hint="default" w:ascii="Times New Roman" w:hAnsi="Times New Roman" w:eastAsia="宋体" w:cs="Times New Roman"/>
                <w:b w:val="0"/>
                <w:bCs w:val="0"/>
                <w:color w:val="000000"/>
                <w:kern w:val="0"/>
                <w:sz w:val="21"/>
                <w:szCs w:val="21"/>
                <w:highlight w:val="none"/>
                <w:vertAlign w:val="superscript"/>
                <w:lang w:val="en-US" w:eastAsia="zh-CN" w:bidi="ar-SA"/>
              </w:rPr>
              <w:t>2</w:t>
            </w:r>
            <w:r>
              <w:rPr>
                <w:rFonts w:hint="default" w:ascii="Times New Roman" w:hAnsi="Times New Roman" w:eastAsia="宋体" w:cs="Times New Roman"/>
                <w:b w:val="0"/>
                <w:bCs w:val="0"/>
                <w:color w:val="000000"/>
                <w:kern w:val="0"/>
                <w:sz w:val="21"/>
                <w:szCs w:val="21"/>
                <w:highlight w:val="none"/>
                <w:vertAlign w:val="baseline"/>
                <w:lang w:val="en-US" w:eastAsia="zh-CN" w:bidi="ar-SA"/>
              </w:rPr>
              <w:t>。一般固废包含</w:t>
            </w:r>
            <w:r>
              <w:rPr>
                <w:rFonts w:hint="default" w:ascii="Times New Roman" w:hAnsi="Times New Roman" w:eastAsia="宋体" w:cs="Times New Roman"/>
                <w:b w:val="0"/>
                <w:bCs w:val="0"/>
                <w:color w:val="000000"/>
                <w:kern w:val="0"/>
                <w:sz w:val="21"/>
                <w:szCs w:val="21"/>
                <w:highlight w:val="none"/>
                <w:lang w:val="en-US" w:eastAsia="zh-CN" w:bidi="ar-SA"/>
              </w:rPr>
              <w:t>生活垃圾委托环卫部门定期清运，废钢材、不合格品、焊渣、收集粉尘、废布袋收集后外售；</w:t>
            </w:r>
            <w:r>
              <w:rPr>
                <w:rFonts w:hint="default" w:ascii="Times New Roman" w:hAnsi="Times New Roman" w:eastAsia="宋体" w:cs="Times New Roman"/>
                <w:b w:val="0"/>
                <w:bCs/>
                <w:color w:val="000000"/>
                <w:kern w:val="0"/>
                <w:sz w:val="21"/>
                <w:szCs w:val="21"/>
                <w:highlight w:val="none"/>
                <w:lang w:val="en-US" w:eastAsia="zh-CN" w:bidi="ar-SA"/>
              </w:rPr>
              <w:t>化粪池污泥委托环卫部门定期清运；餐厨垃圾、食堂废油脂委托徐州大树生物科技有限公司处置。</w:t>
            </w:r>
          </w:p>
        </w:tc>
        <w:tc>
          <w:tcPr>
            <w:tcW w:w="1557" w:type="dxa"/>
            <w:noWrap w:val="0"/>
            <w:vAlign w:val="center"/>
          </w:tcPr>
          <w:p w14:paraId="56E509EC">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与环评</w:t>
            </w:r>
          </w:p>
          <w:p w14:paraId="32AAE1ED">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一致</w:t>
            </w:r>
          </w:p>
        </w:tc>
      </w:tr>
      <w:tr w14:paraId="31ED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27" w:type="dxa"/>
            <w:vMerge w:val="continue"/>
            <w:noWrap w:val="0"/>
            <w:vAlign w:val="center"/>
          </w:tcPr>
          <w:p w14:paraId="1FA78777">
            <w:pPr>
              <w:keepNext w:val="0"/>
              <w:keepLines w:val="0"/>
              <w:pageBreakBefore w:val="0"/>
              <w:wordWrap/>
              <w:overflowPunct/>
              <w:topLinePunct w:val="0"/>
              <w:bidi w:val="0"/>
              <w:adjustRightInd w:val="0"/>
              <w:snapToGrid w:val="0"/>
              <w:spacing w:after="0" w:line="240" w:lineRule="auto"/>
              <w:ind w:firstLine="0" w:firstLineChars="0"/>
              <w:jc w:val="center"/>
              <w:rPr>
                <w:rFonts w:hint="default" w:ascii="Times New Roman" w:hAnsi="Times New Roman" w:eastAsia="宋体" w:cs="Times New Roman"/>
                <w:color w:val="000000"/>
                <w:sz w:val="21"/>
                <w:szCs w:val="21"/>
                <w:highlight w:val="none"/>
              </w:rPr>
            </w:pPr>
          </w:p>
        </w:tc>
        <w:tc>
          <w:tcPr>
            <w:tcW w:w="3271" w:type="dxa"/>
            <w:vMerge w:val="continue"/>
            <w:noWrap w:val="0"/>
            <w:vAlign w:val="center"/>
          </w:tcPr>
          <w:p w14:paraId="5522B18B">
            <w:pPr>
              <w:keepNext w:val="0"/>
              <w:keepLines w:val="0"/>
              <w:pageBreakBefore w:val="0"/>
              <w:wordWrap/>
              <w:overflowPunct/>
              <w:topLinePunct w:val="0"/>
              <w:bidi w:val="0"/>
              <w:adjustRightInd w:val="0"/>
              <w:snapToGrid w:val="0"/>
              <w:spacing w:after="0" w:line="240" w:lineRule="auto"/>
              <w:ind w:firstLine="0" w:firstLineChars="0"/>
              <w:jc w:val="both"/>
              <w:rPr>
                <w:rFonts w:hint="default" w:ascii="Times New Roman" w:hAnsi="Times New Roman" w:eastAsia="宋体" w:cs="Times New Roman"/>
                <w:color w:val="000000"/>
                <w:sz w:val="21"/>
                <w:szCs w:val="21"/>
                <w:highlight w:val="none"/>
              </w:rPr>
            </w:pPr>
          </w:p>
        </w:tc>
        <w:tc>
          <w:tcPr>
            <w:tcW w:w="1859" w:type="dxa"/>
            <w:noWrap w:val="0"/>
            <w:vAlign w:val="center"/>
          </w:tcPr>
          <w:p w14:paraId="748E22B1">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yellow"/>
                <w:lang w:val="en-US" w:eastAsia="zh-CN" w:bidi="ar-SA"/>
              </w:rPr>
            </w:pPr>
            <w:r>
              <w:rPr>
                <w:rFonts w:hint="default" w:ascii="Times New Roman" w:hAnsi="Times New Roman" w:eastAsia="宋体" w:cs="Times New Roman"/>
                <w:b w:val="0"/>
                <w:bCs/>
                <w:color w:val="000000"/>
                <w:sz w:val="21"/>
                <w:szCs w:val="21"/>
                <w:highlight w:val="none"/>
                <w:lang w:eastAsia="zh-CN"/>
              </w:rPr>
              <w:t>危废</w:t>
            </w:r>
            <w:r>
              <w:rPr>
                <w:rFonts w:hint="default" w:ascii="Times New Roman" w:hAnsi="Times New Roman" w:eastAsia="宋体" w:cs="Times New Roman"/>
                <w:b w:val="0"/>
                <w:bCs/>
                <w:color w:val="000000"/>
                <w:sz w:val="21"/>
                <w:szCs w:val="21"/>
                <w:highlight w:val="none"/>
                <w:lang w:val="en-US" w:eastAsia="zh-CN"/>
              </w:rPr>
              <w:t>暂存间10</w:t>
            </w:r>
            <w:r>
              <w:rPr>
                <w:rFonts w:hint="default" w:ascii="Times New Roman" w:hAnsi="Times New Roman" w:eastAsia="宋体" w:cs="Times New Roman"/>
                <w:b w:val="0"/>
                <w:bCs/>
                <w:color w:val="000000"/>
                <w:sz w:val="21"/>
                <w:szCs w:val="21"/>
                <w:highlight w:val="none"/>
              </w:rPr>
              <w:t>m</w:t>
            </w:r>
            <w:r>
              <w:rPr>
                <w:rFonts w:hint="default" w:ascii="Times New Roman" w:hAnsi="Times New Roman" w:eastAsia="宋体" w:cs="Times New Roman"/>
                <w:b w:val="0"/>
                <w:bCs/>
                <w:color w:val="000000"/>
                <w:sz w:val="21"/>
                <w:szCs w:val="21"/>
                <w:highlight w:val="none"/>
                <w:vertAlign w:val="superscript"/>
              </w:rPr>
              <w:t>2</w:t>
            </w:r>
            <w:r>
              <w:rPr>
                <w:rFonts w:hint="default" w:ascii="Times New Roman" w:hAnsi="Times New Roman" w:eastAsia="宋体" w:cs="Times New Roman"/>
                <w:b w:val="0"/>
                <w:bCs/>
                <w:color w:val="000000"/>
                <w:sz w:val="21"/>
                <w:szCs w:val="21"/>
                <w:highlight w:val="none"/>
              </w:rPr>
              <w:t>。危险废物委托资质单位处置，一般固废收集后外售</w:t>
            </w:r>
            <w:r>
              <w:rPr>
                <w:rFonts w:hint="default" w:ascii="Times New Roman" w:hAnsi="Times New Roman" w:eastAsia="宋体" w:cs="Times New Roman"/>
                <w:b w:val="0"/>
                <w:bCs w:val="0"/>
                <w:color w:val="000000"/>
                <w:kern w:val="0"/>
                <w:sz w:val="21"/>
                <w:szCs w:val="21"/>
                <w:highlight w:val="none"/>
                <w:lang w:val="en-US" w:eastAsia="zh-CN" w:bidi="ar-SA"/>
              </w:rPr>
              <w:t>。</w:t>
            </w:r>
          </w:p>
        </w:tc>
        <w:tc>
          <w:tcPr>
            <w:tcW w:w="1626" w:type="dxa"/>
            <w:noWrap w:val="0"/>
            <w:vAlign w:val="center"/>
          </w:tcPr>
          <w:p w14:paraId="754C01AB">
            <w:pPr>
              <w:keepNext w:val="0"/>
              <w:keepLines w:val="0"/>
              <w:pageBreakBefore w:val="0"/>
              <w:widowControl/>
              <w:suppressLineNumbers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Times New Roman" w:hAnsi="Times New Roman" w:eastAsia="宋体" w:cs="Times New Roman"/>
                <w:b w:val="0"/>
                <w:bCs w:val="0"/>
                <w:color w:val="000000"/>
                <w:kern w:val="0"/>
                <w:sz w:val="21"/>
                <w:szCs w:val="21"/>
                <w:highlight w:val="yellow"/>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危废库设置在1#车间内，依托现有，面积约10m</w:t>
            </w:r>
            <w:r>
              <w:rPr>
                <w:rFonts w:hint="default" w:ascii="Times New Roman" w:hAnsi="Times New Roman" w:eastAsia="宋体" w:cs="Times New Roman"/>
                <w:b w:val="0"/>
                <w:bCs w:val="0"/>
                <w:color w:val="000000"/>
                <w:kern w:val="0"/>
                <w:sz w:val="21"/>
                <w:szCs w:val="21"/>
                <w:highlight w:val="none"/>
                <w:vertAlign w:val="superscript"/>
                <w:lang w:val="en-US" w:eastAsia="zh-CN" w:bidi="ar-SA"/>
              </w:rPr>
              <w:t>2</w:t>
            </w:r>
            <w:r>
              <w:rPr>
                <w:rFonts w:hint="default" w:ascii="Times New Roman" w:hAnsi="Times New Roman" w:eastAsia="宋体" w:cs="Times New Roman"/>
                <w:b w:val="0"/>
                <w:bCs w:val="0"/>
                <w:color w:val="000000"/>
                <w:kern w:val="0"/>
                <w:sz w:val="21"/>
                <w:szCs w:val="21"/>
                <w:highlight w:val="none"/>
                <w:lang w:val="en-US" w:eastAsia="zh-CN" w:bidi="ar-SA"/>
              </w:rPr>
              <w:t>，危险废物主要有淬火槽杂质、淬火剂废包装桶、废润滑油、废含油抹布、废油桶委托江苏诺恩环境有限公司处置。</w:t>
            </w:r>
          </w:p>
        </w:tc>
        <w:tc>
          <w:tcPr>
            <w:tcW w:w="1557" w:type="dxa"/>
            <w:noWrap w:val="0"/>
            <w:vAlign w:val="center"/>
          </w:tcPr>
          <w:p w14:paraId="68B90538">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与环评</w:t>
            </w:r>
          </w:p>
          <w:p w14:paraId="47248F56">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b w:val="0"/>
                <w:bCs w:val="0"/>
                <w:color w:val="000000"/>
                <w:kern w:val="0"/>
                <w:sz w:val="21"/>
                <w:szCs w:val="21"/>
                <w:highlight w:val="none"/>
                <w:lang w:val="en-US" w:eastAsia="zh-CN" w:bidi="ar-SA"/>
              </w:rPr>
            </w:pPr>
            <w:r>
              <w:rPr>
                <w:rFonts w:hint="default" w:ascii="Times New Roman" w:hAnsi="Times New Roman" w:eastAsia="宋体" w:cs="Times New Roman"/>
                <w:b w:val="0"/>
                <w:bCs w:val="0"/>
                <w:color w:val="000000"/>
                <w:kern w:val="0"/>
                <w:sz w:val="21"/>
                <w:szCs w:val="21"/>
                <w:highlight w:val="none"/>
                <w:lang w:val="en-US" w:eastAsia="zh-CN" w:bidi="ar-SA"/>
              </w:rPr>
              <w:t>一致</w:t>
            </w:r>
          </w:p>
        </w:tc>
      </w:tr>
    </w:tbl>
    <w:p w14:paraId="10FE0851">
      <w:pPr>
        <w:pageBreakBefore w:val="0"/>
        <w:kinsoku/>
        <w:wordWrap/>
        <w:topLinePunct w:val="0"/>
        <w:bidi w:val="0"/>
        <w:adjustRightInd w:val="0"/>
        <w:snapToGrid w:val="0"/>
        <w:spacing w:line="38" w:lineRule="exact"/>
        <w:rPr>
          <w:rFonts w:hint="default" w:ascii="Times New Roman" w:hAnsi="Times New Roman" w:cs="Times New Roman"/>
          <w:color w:val="000000" w:themeColor="text1"/>
          <w14:textFill>
            <w14:solidFill>
              <w14:schemeClr w14:val="tx1"/>
            </w14:solidFill>
          </w14:textFill>
        </w:rPr>
      </w:pPr>
    </w:p>
    <w:p w14:paraId="5C1AEF36">
      <w:pPr>
        <w:pageBreakBefore w:val="0"/>
        <w:kinsoku/>
        <w:wordWrap/>
        <w:topLinePunct w:val="0"/>
        <w:bidi w:val="0"/>
        <w:adjustRightInd w:val="0"/>
        <w:snapToGrid w:val="0"/>
        <w:spacing w:line="91" w:lineRule="auto"/>
        <w:jc w:val="both"/>
        <w:rPr>
          <w:rFonts w:hint="default" w:ascii="Times New Roman" w:hAnsi="Times New Roman" w:cs="Times New Roman"/>
          <w:color w:val="000000" w:themeColor="text1"/>
          <w:sz w:val="2"/>
          <w14:textFill>
            <w14:solidFill>
              <w14:schemeClr w14:val="tx1"/>
            </w14:solidFill>
          </w14:textFill>
        </w:rPr>
      </w:pPr>
    </w:p>
    <w:p w14:paraId="5BB37E5B">
      <w:pPr>
        <w:pageBreakBefore w:val="0"/>
        <w:kinsoku/>
        <w:wordWrap/>
        <w:topLinePunct w:val="0"/>
        <w:bidi w:val="0"/>
        <w:adjustRightInd w:val="0"/>
        <w:snapToGrid w:val="0"/>
        <w:spacing w:line="91" w:lineRule="auto"/>
        <w:rPr>
          <w:rFonts w:hint="default" w:ascii="Times New Roman" w:hAnsi="Times New Roman" w:cs="Times New Roman"/>
          <w:color w:val="000000" w:themeColor="text1"/>
          <w:sz w:val="2"/>
          <w14:textFill>
            <w14:solidFill>
              <w14:schemeClr w14:val="tx1"/>
            </w14:solidFill>
          </w14:textFill>
        </w:rPr>
      </w:pPr>
    </w:p>
    <w:p w14:paraId="0F71D6A0">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对照《关于印发污染影响类建设项目重大变动清单</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试行</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的通知》</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环办环评函〔2020〕688号</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，本项目存在变动，但不属于重大变动，为一般变动。</w:t>
      </w:r>
    </w:p>
    <w:p w14:paraId="29408692">
      <w:pPr>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3.结论</w:t>
      </w:r>
    </w:p>
    <w:p w14:paraId="5BAD1F3F">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hint="eastAsia"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根据上述变化分析可知，本项目建设性质、</w:t>
      </w:r>
      <w:r>
        <w:rPr>
          <w:rFonts w:hint="default" w:ascii="Times New Roman" w:hAnsi="Times New Roman" w:cs="Times New Roman"/>
          <w:color w:val="000000" w:themeColor="text1"/>
          <w:lang w:val="en-US" w:eastAsia="zh-CN"/>
          <w14:textFill>
            <w14:solidFill>
              <w14:schemeClr w14:val="tx1"/>
            </w14:solidFill>
          </w14:textFill>
        </w:rPr>
        <w:t>生产规模、</w:t>
      </w:r>
      <w:r>
        <w:rPr>
          <w:rFonts w:hint="default" w:ascii="Times New Roman" w:hAnsi="Times New Roman" w:cs="Times New Roman"/>
          <w:color w:val="000000" w:themeColor="text1"/>
          <w14:textFill>
            <w14:solidFill>
              <w14:schemeClr w14:val="tx1"/>
            </w14:solidFill>
          </w14:textFill>
        </w:rPr>
        <w:t>生产工艺、地点等均未发生变化</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切割下料废气处理措施发生变化，由集气罩收集，经袋式除尘器处理后通过15m高的5#排气筒排放；变动为：切割下料废气通过原铁附件切割下料废气的过脉冲布袋除尘器处理后通过15m高排气筒（DA001）排放。</w:t>
      </w:r>
    </w:p>
    <w:p w14:paraId="710AD451">
      <w:pPr>
        <w:pageBreakBefore w:val="0"/>
        <w:kinsoku/>
        <w:wordWrap/>
        <w:topLinePunct w:val="0"/>
        <w:bidi w:val="0"/>
        <w:adjustRightInd w:val="0"/>
        <w:snapToGrid w:val="0"/>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根据企业实际情况，项目铁附件生产线及螺帽生产线不同时生产，两条生产线产生的切割下料废气分别经过同一套布袋除尘器处理后分别排放，未新增污染物种类及排放量，项目变动不属于重大变动。</w:t>
      </w:r>
    </w:p>
    <w:p w14:paraId="5974D646">
      <w:pPr>
        <w:rPr>
          <w:rFonts w:hint="eastAsia"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对照《关于印发&lt;污染影响类建设项目重大变动清单</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试行</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&gt;的通知》(环办环评函〔2020〕688号)，本项目的变动不属于重大变动，不会导致不利影响加重。因此，上述变化不改变环评报告结论，且上述变化不会改变项目危险物质及环境风险源的变化。</w:t>
      </w:r>
    </w:p>
    <w:p w14:paraId="3E293091">
      <w:pPr>
        <w:rPr>
          <w:rFonts w:hint="default" w:cs="Times New Roman"/>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B74DF"/>
    <w:rsid w:val="3FFB5F71"/>
    <w:rsid w:val="4BF53D08"/>
    <w:rsid w:val="5F2D05E1"/>
    <w:rsid w:val="6E807C02"/>
    <w:rsid w:val="71994BEE"/>
    <w:rsid w:val="7BD9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883" w:firstLineChars="200"/>
      <w:jc w:val="both"/>
      <w:textAlignment w:val="baseline"/>
    </w:pPr>
    <w:rPr>
      <w:rFonts w:ascii="Times New Roman" w:hAnsi="Times New Roman" w:eastAsia="宋体" w:cs="Arial"/>
      <w:snapToGrid w:val="0"/>
      <w:color w:val="000000"/>
      <w:kern w:val="0"/>
      <w:sz w:val="24"/>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First Indent 2"/>
    <w:basedOn w:val="1"/>
    <w:next w:val="1"/>
    <w:uiPriority w:val="0"/>
    <w:pPr>
      <w:ind w:firstLine="420" w:firstLineChars="200"/>
    </w:pPr>
  </w:style>
  <w:style w:type="paragraph" w:customStyle="1" w:styleId="8">
    <w:name w:val="爷"/>
    <w:basedOn w:val="4"/>
    <w:uiPriority w:val="0"/>
    <w:rPr>
      <w:rFonts w:hint="eastAsia" w:ascii="Arial" w:hAnsi="Arial" w:cs="Times New Roman"/>
      <w:kern w:val="2"/>
      <w:sz w:val="28"/>
    </w:rPr>
  </w:style>
  <w:style w:type="paragraph" w:customStyle="1" w:styleId="9">
    <w:name w:val="图表标题"/>
    <w:basedOn w:val="1"/>
    <w:qFormat/>
    <w:uiPriority w:val="0"/>
    <w:pPr>
      <w:autoSpaceDE/>
      <w:autoSpaceDN/>
      <w:snapToGrid/>
      <w:spacing w:line="440" w:lineRule="exact"/>
      <w:ind w:firstLine="0" w:firstLineChars="0"/>
      <w:jc w:val="center"/>
    </w:pPr>
    <w:rPr>
      <w:rFonts w:ascii="Times New Roman" w:hAnsi="Times New Roman" w:eastAsia="黑体" w:cs="Times New Roman"/>
      <w:b/>
      <w:bCs/>
      <w:snapToGrid w:val="0"/>
      <w:color w:val="auto"/>
      <w:sz w:val="24"/>
      <w:szCs w:val="24"/>
    </w:rPr>
  </w:style>
  <w:style w:type="paragraph" w:customStyle="1" w:styleId="10">
    <w:name w:val="表格内容"/>
    <w:basedOn w:val="1"/>
    <w:qFormat/>
    <w:uiPriority w:val="0"/>
    <w:pPr>
      <w:autoSpaceDE/>
      <w:autoSpaceDN/>
      <w:snapToGrid/>
      <w:spacing w:line="240" w:lineRule="auto"/>
      <w:ind w:firstLine="0" w:firstLineChars="0"/>
      <w:jc w:val="center"/>
    </w:pPr>
    <w:rPr>
      <w:rFonts w:ascii="Times New Roman" w:hAnsi="Times New Roman" w:cs="Times New Roman"/>
      <w:snapToGrid w:val="0"/>
      <w:color w:val="auto"/>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2021-04-09T00:32:00Z</dcterms:created>
  <dc:creator>Administrator</dc:creator>
  <cp:lastModifiedBy>吕</cp:lastModifiedBy>
  <dcterms:modified xsi:type="dcterms:W3CDTF">2025-04-21T01:50:37Z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C8A10CAD0CF14B3EA940D16B7A1C554B</vt:lpwstr>
  </property>
  <property fmtid="{D5CDD505-2E9C-101B-9397-08002B2CF9AE}" pid="4" name="KSOTemplateDocerSaveRecord">
    <vt:lpwstr>eyJoZGlkIjoiM2ZhZDdlNzIxZmZiMmQ5NGY2ZWI3NWZiMGNkYTZiOWIiLCJ1c2VySWQiOiIzMDY2NTAyODEifQ==</vt:lpwstr>
  </property>
</Properties>
</file>